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8516" w14:textId="2A119832" w:rsidR="00397953" w:rsidRPr="000D0C93" w:rsidRDefault="000D0C93" w:rsidP="00947819">
      <w:pPr>
        <w:rPr>
          <w:sz w:val="40"/>
          <w:szCs w:val="40"/>
        </w:rPr>
      </w:pPr>
      <w:r w:rsidRPr="000D0C93">
        <w:rPr>
          <w:sz w:val="40"/>
          <w:szCs w:val="40"/>
        </w:rPr>
        <w:t>Presseinformation</w:t>
      </w:r>
    </w:p>
    <w:p w14:paraId="07F5896B" w14:textId="47FBBFE2" w:rsidR="00397953" w:rsidRPr="000D0C93" w:rsidRDefault="00397953" w:rsidP="00947819">
      <w:pPr>
        <w:spacing w:line="360" w:lineRule="auto"/>
        <w:ind w:right="-2"/>
        <w:rPr>
          <w:b/>
          <w:sz w:val="24"/>
        </w:rPr>
      </w:pPr>
    </w:p>
    <w:p w14:paraId="27C4494F" w14:textId="296F5AB4" w:rsidR="001B7AF4" w:rsidRDefault="001B7AF4" w:rsidP="00881BC9">
      <w:pPr>
        <w:pStyle w:val="Kopfzeile"/>
        <w:spacing w:line="360" w:lineRule="auto"/>
        <w:jc w:val="both"/>
        <w:rPr>
          <w:b/>
          <w:bCs/>
          <w:sz w:val="24"/>
          <w:szCs w:val="24"/>
        </w:rPr>
      </w:pPr>
    </w:p>
    <w:p w14:paraId="2C65928C" w14:textId="6F3443E5" w:rsidR="00881BC9" w:rsidRPr="00881BC9" w:rsidRDefault="00DD6CB3" w:rsidP="00881BC9">
      <w:pPr>
        <w:pStyle w:val="Kopfzeile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Baugleicher </w:t>
      </w:r>
      <w:r w:rsidR="00881BC9" w:rsidRPr="00881BC9">
        <w:rPr>
          <w:b/>
          <w:bCs/>
          <w:sz w:val="24"/>
          <w:szCs w:val="24"/>
        </w:rPr>
        <w:t xml:space="preserve">Ersatz für </w:t>
      </w:r>
      <w:r>
        <w:rPr>
          <w:b/>
          <w:bCs/>
          <w:sz w:val="24"/>
          <w:szCs w:val="24"/>
        </w:rPr>
        <w:t xml:space="preserve">abgekündigte </w:t>
      </w:r>
      <w:r w:rsidR="00881BC9" w:rsidRPr="00881BC9">
        <w:rPr>
          <w:b/>
          <w:bCs/>
          <w:sz w:val="24"/>
          <w:szCs w:val="24"/>
        </w:rPr>
        <w:t>Honeywell</w:t>
      </w:r>
      <w:r w:rsidR="00881BC9">
        <w:rPr>
          <w:b/>
          <w:bCs/>
          <w:sz w:val="24"/>
          <w:szCs w:val="24"/>
        </w:rPr>
        <w:t xml:space="preserve">- </w:t>
      </w:r>
      <w:r w:rsidR="00881BC9" w:rsidRPr="00881BC9">
        <w:rPr>
          <w:b/>
          <w:bCs/>
          <w:sz w:val="24"/>
          <w:szCs w:val="24"/>
        </w:rPr>
        <w:t>und Rockwell</w:t>
      </w:r>
      <w:r w:rsidR="00881BC9">
        <w:rPr>
          <w:b/>
          <w:bCs/>
          <w:sz w:val="24"/>
          <w:szCs w:val="24"/>
        </w:rPr>
        <w:t>-</w:t>
      </w:r>
      <w:r w:rsidR="00881BC9" w:rsidRPr="00881BC9">
        <w:rPr>
          <w:b/>
          <w:bCs/>
          <w:sz w:val="24"/>
          <w:szCs w:val="24"/>
        </w:rPr>
        <w:t>Ultraschallsensoren</w:t>
      </w:r>
    </w:p>
    <w:p w14:paraId="746BAFFE" w14:textId="77777777" w:rsidR="00397953" w:rsidRPr="000D0C93" w:rsidRDefault="00397953" w:rsidP="00947819">
      <w:pPr>
        <w:spacing w:line="360" w:lineRule="auto"/>
        <w:ind w:right="-2"/>
      </w:pPr>
    </w:p>
    <w:p w14:paraId="6E72B8CF" w14:textId="23123B23" w:rsidR="005025F9" w:rsidRDefault="00881BC9" w:rsidP="001B7AF4">
      <w:pPr>
        <w:pStyle w:val="Kopfzeile"/>
        <w:tabs>
          <w:tab w:val="clear" w:pos="4536"/>
          <w:tab w:val="clear" w:pos="9072"/>
        </w:tabs>
        <w:spacing w:line="360" w:lineRule="auto"/>
        <w:ind w:right="-2"/>
        <w:jc w:val="both"/>
      </w:pPr>
      <w:r>
        <w:t xml:space="preserve">Vor </w:t>
      </w:r>
      <w:r w:rsidR="00061CC2">
        <w:t>k</w:t>
      </w:r>
      <w:r>
        <w:t xml:space="preserve">urzem wurde der </w:t>
      </w:r>
      <w:r w:rsidRPr="00881BC9">
        <w:t xml:space="preserve">Vertrieb von </w:t>
      </w:r>
      <w:r w:rsidR="00395E07">
        <w:t>Honeywell-</w:t>
      </w:r>
      <w:r w:rsidRPr="00881BC9">
        <w:t xml:space="preserve">Ultraschallsensoren </w:t>
      </w:r>
      <w:r w:rsidR="00FB506F">
        <w:t xml:space="preserve">der </w:t>
      </w:r>
      <w:r w:rsidRPr="00881BC9">
        <w:t>Serie</w:t>
      </w:r>
      <w:r w:rsidR="00395E07">
        <w:t>n</w:t>
      </w:r>
      <w:r w:rsidRPr="00881BC9">
        <w:t xml:space="preserve"> 94x </w:t>
      </w:r>
      <w:r w:rsidR="00395E07">
        <w:t xml:space="preserve">und </w:t>
      </w:r>
      <w:r w:rsidR="00395E07" w:rsidRPr="00881BC9">
        <w:t xml:space="preserve">873x </w:t>
      </w:r>
      <w:r w:rsidR="00FB506F">
        <w:t xml:space="preserve">eingestellt; gleiches gilt für </w:t>
      </w:r>
      <w:r w:rsidR="005A5FCE">
        <w:t>Rockwell-</w:t>
      </w:r>
      <w:r w:rsidR="00FB506F" w:rsidRPr="00FB506F">
        <w:t xml:space="preserve"> </w:t>
      </w:r>
      <w:r w:rsidR="00FB506F" w:rsidRPr="00881BC9">
        <w:t>Ultraschallsensoren</w:t>
      </w:r>
      <w:r w:rsidR="005A5FCE">
        <w:t xml:space="preserve"> der Ser</w:t>
      </w:r>
      <w:r w:rsidR="00FB506F">
        <w:t>i</w:t>
      </w:r>
      <w:r w:rsidR="005A5FCE">
        <w:t xml:space="preserve">e </w:t>
      </w:r>
      <w:r w:rsidRPr="00881BC9">
        <w:t xml:space="preserve">60x. </w:t>
      </w:r>
      <w:r w:rsidR="00FB506F">
        <w:t>V</w:t>
      </w:r>
      <w:r w:rsidR="005A5FCE">
        <w:t>ollwertige</w:t>
      </w:r>
      <w:r w:rsidR="00FB506F">
        <w:t xml:space="preserve">n </w:t>
      </w:r>
      <w:r w:rsidR="005A5FCE">
        <w:t xml:space="preserve">Ersatz </w:t>
      </w:r>
      <w:r w:rsidR="00983A3F">
        <w:t>für die</w:t>
      </w:r>
      <w:r w:rsidR="00B8523A">
        <w:t>se</w:t>
      </w:r>
      <w:r w:rsidR="00983A3F">
        <w:t xml:space="preserve"> Modelle </w:t>
      </w:r>
      <w:r w:rsidR="00FB506F">
        <w:t xml:space="preserve">erhalten Kunden bzw. Anwender </w:t>
      </w:r>
      <w:r w:rsidR="00983A3F">
        <w:t xml:space="preserve">jedoch auch </w:t>
      </w:r>
      <w:r w:rsidR="00CE46BB">
        <w:t xml:space="preserve">weiterhin </w:t>
      </w:r>
      <w:r w:rsidR="00983A3F">
        <w:t xml:space="preserve">bei der </w:t>
      </w:r>
      <w:r w:rsidR="00CE46BB" w:rsidRPr="00881BC9">
        <w:t>PiL</w:t>
      </w:r>
      <w:r w:rsidR="00CE46BB">
        <w:t> </w:t>
      </w:r>
      <w:r w:rsidR="00CE46BB" w:rsidRPr="00881BC9">
        <w:t>Sensoren</w:t>
      </w:r>
      <w:r w:rsidR="00CE46BB">
        <w:t> </w:t>
      </w:r>
      <w:r w:rsidR="00CE46BB" w:rsidRPr="00881BC9">
        <w:t>GmbH</w:t>
      </w:r>
      <w:r w:rsidR="00983A3F">
        <w:t xml:space="preserve">. </w:t>
      </w:r>
      <w:r w:rsidR="00256FC3">
        <w:t xml:space="preserve">Da </w:t>
      </w:r>
      <w:r w:rsidR="005A5FCE">
        <w:t>die</w:t>
      </w:r>
      <w:r w:rsidR="00B8523A">
        <w:t>se</w:t>
      </w:r>
      <w:r w:rsidR="005A5FCE">
        <w:t xml:space="preserve"> Sensorbaureihen ursprünglich </w:t>
      </w:r>
      <w:r w:rsidR="00256FC3">
        <w:t xml:space="preserve">von PiL </w:t>
      </w:r>
      <w:r w:rsidRPr="00881BC9">
        <w:t>entwickelt und</w:t>
      </w:r>
      <w:r w:rsidR="005A5FCE">
        <w:t xml:space="preserve"> </w:t>
      </w:r>
      <w:r w:rsidR="007F5476">
        <w:t xml:space="preserve">als </w:t>
      </w:r>
      <w:r w:rsidR="005A5FCE">
        <w:t>OEM-</w:t>
      </w:r>
      <w:r w:rsidR="007F5476">
        <w:t xml:space="preserve">Produkte </w:t>
      </w:r>
      <w:r w:rsidR="00256FC3">
        <w:t>ge</w:t>
      </w:r>
      <w:r w:rsidR="007F5476">
        <w:t>li</w:t>
      </w:r>
      <w:r w:rsidR="001B7AF4">
        <w:t>e</w:t>
      </w:r>
      <w:r w:rsidR="007F5476">
        <w:t>fert wurden, ist das Unternehmen in der Lage, auch künftig e</w:t>
      </w:r>
      <w:r w:rsidRPr="00881BC9">
        <w:t xml:space="preserve">xakt baugleiche Modelle </w:t>
      </w:r>
      <w:r w:rsidR="006215E2">
        <w:t xml:space="preserve">mit vollständig identischen Spezifikationen </w:t>
      </w:r>
      <w:r w:rsidR="007F5476">
        <w:t>anzubieten</w:t>
      </w:r>
      <w:r w:rsidRPr="00881BC9">
        <w:t xml:space="preserve">. </w:t>
      </w:r>
      <w:r w:rsidR="006215E2">
        <w:t xml:space="preserve">Entsprechende </w:t>
      </w:r>
      <w:r w:rsidRPr="00881BC9">
        <w:t xml:space="preserve">Bestellungen </w:t>
      </w:r>
      <w:r w:rsidR="006215E2">
        <w:t xml:space="preserve">nimmt die </w:t>
      </w:r>
      <w:r w:rsidRPr="00881BC9">
        <w:t>PiL</w:t>
      </w:r>
      <w:r w:rsidR="006215E2">
        <w:t> </w:t>
      </w:r>
      <w:r w:rsidRPr="00881BC9">
        <w:t>Sensoren</w:t>
      </w:r>
      <w:r w:rsidR="006215E2">
        <w:t> </w:t>
      </w:r>
      <w:r w:rsidRPr="00881BC9">
        <w:t>GmbH unter de</w:t>
      </w:r>
      <w:r w:rsidR="006215E2">
        <w:t>n</w:t>
      </w:r>
      <w:r w:rsidRPr="00881BC9">
        <w:t xml:space="preserve"> original</w:t>
      </w:r>
      <w:r w:rsidR="006215E2">
        <w:t xml:space="preserve">en </w:t>
      </w:r>
      <w:r w:rsidRPr="00881BC9">
        <w:t>Honeywell- bzw. Rockwell-Bezeichnung</w:t>
      </w:r>
      <w:r w:rsidR="006215E2">
        <w:t xml:space="preserve">en an. </w:t>
      </w:r>
    </w:p>
    <w:p w14:paraId="361811B4" w14:textId="6C002786" w:rsidR="00FD50BA" w:rsidRDefault="00FD50BA" w:rsidP="001B7AF4">
      <w:pPr>
        <w:pStyle w:val="Kopfzeile"/>
        <w:tabs>
          <w:tab w:val="clear" w:pos="4536"/>
          <w:tab w:val="clear" w:pos="9072"/>
        </w:tabs>
        <w:spacing w:line="360" w:lineRule="auto"/>
        <w:ind w:right="-2"/>
        <w:jc w:val="both"/>
      </w:pPr>
    </w:p>
    <w:p w14:paraId="5CF92BBA" w14:textId="5E0F55B6" w:rsidR="005044A8" w:rsidRDefault="005044A8" w:rsidP="001B7AF4">
      <w:pPr>
        <w:pStyle w:val="Kopfzeile"/>
        <w:tabs>
          <w:tab w:val="clear" w:pos="4536"/>
          <w:tab w:val="clear" w:pos="9072"/>
        </w:tabs>
        <w:spacing w:line="360" w:lineRule="auto"/>
        <w:ind w:right="-2"/>
        <w:jc w:val="both"/>
      </w:pPr>
    </w:p>
    <w:p w14:paraId="0D580A7A" w14:textId="05969841" w:rsidR="005044A8" w:rsidRDefault="005044A8" w:rsidP="001B7AF4">
      <w:pPr>
        <w:pStyle w:val="Kopfzeile"/>
        <w:tabs>
          <w:tab w:val="clear" w:pos="4536"/>
          <w:tab w:val="clear" w:pos="9072"/>
        </w:tabs>
        <w:spacing w:line="360" w:lineRule="auto"/>
        <w:ind w:right="-2"/>
        <w:jc w:val="both"/>
      </w:pPr>
    </w:p>
    <w:p w14:paraId="7D5BB659" w14:textId="77777777" w:rsidR="005044A8" w:rsidRDefault="005044A8" w:rsidP="001B7AF4">
      <w:pPr>
        <w:pStyle w:val="Kopfzeile"/>
        <w:tabs>
          <w:tab w:val="clear" w:pos="4536"/>
          <w:tab w:val="clear" w:pos="9072"/>
        </w:tabs>
        <w:spacing w:line="360" w:lineRule="auto"/>
        <w:ind w:right="-2"/>
        <w:jc w:val="both"/>
      </w:pPr>
    </w:p>
    <w:p w14:paraId="3E14790B" w14:textId="4D6EF232" w:rsidR="004F59DB" w:rsidRDefault="004F59DB" w:rsidP="004F59DB">
      <w:pPr>
        <w:jc w:val="both"/>
      </w:pPr>
    </w:p>
    <w:tbl>
      <w:tblPr>
        <w:tblW w:w="7302" w:type="dxa"/>
        <w:tblLayout w:type="fixed"/>
        <w:tblLook w:val="04A0" w:firstRow="1" w:lastRow="0" w:firstColumn="1" w:lastColumn="0" w:noHBand="0" w:noVBand="1"/>
      </w:tblPr>
      <w:tblGrid>
        <w:gridCol w:w="1177"/>
        <w:gridCol w:w="3527"/>
        <w:gridCol w:w="1424"/>
        <w:gridCol w:w="1174"/>
      </w:tblGrid>
      <w:tr w:rsidR="004F59DB" w:rsidRPr="000D0C93" w14:paraId="1563206B" w14:textId="77777777" w:rsidTr="00990B3E">
        <w:tc>
          <w:tcPr>
            <w:tcW w:w="1177" w:type="dxa"/>
            <w:shd w:val="clear" w:color="auto" w:fill="auto"/>
          </w:tcPr>
          <w:p w14:paraId="32746E8B" w14:textId="77777777" w:rsidR="004F59DB" w:rsidRPr="000D0C93" w:rsidRDefault="000D0C93" w:rsidP="004F59DB">
            <w:pPr>
              <w:rPr>
                <w:sz w:val="18"/>
                <w:szCs w:val="18"/>
              </w:rPr>
            </w:pPr>
            <w:r w:rsidRPr="000D0C93">
              <w:rPr>
                <w:sz w:val="18"/>
                <w:szCs w:val="18"/>
              </w:rPr>
              <w:t>Bilder:</w:t>
            </w:r>
          </w:p>
        </w:tc>
        <w:tc>
          <w:tcPr>
            <w:tcW w:w="3527" w:type="dxa"/>
            <w:shd w:val="clear" w:color="auto" w:fill="auto"/>
          </w:tcPr>
          <w:p w14:paraId="37C19247" w14:textId="60926A2D" w:rsidR="004F59DB" w:rsidRPr="000D0C93" w:rsidRDefault="004F59DB" w:rsidP="004F59DB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auto"/>
          </w:tcPr>
          <w:p w14:paraId="18158816" w14:textId="77777777" w:rsidR="004F59DB" w:rsidRPr="000D0C93" w:rsidRDefault="000D0C93" w:rsidP="004F59DB">
            <w:pPr>
              <w:rPr>
                <w:sz w:val="18"/>
                <w:szCs w:val="18"/>
              </w:rPr>
            </w:pPr>
            <w:r w:rsidRPr="000D0C93">
              <w:rPr>
                <w:sz w:val="18"/>
                <w:szCs w:val="18"/>
              </w:rPr>
              <w:t>Zeichen</w:t>
            </w:r>
            <w:r w:rsidR="004F59DB" w:rsidRPr="000D0C93">
              <w:rPr>
                <w:sz w:val="18"/>
                <w:szCs w:val="18"/>
              </w:rPr>
              <w:t>:</w:t>
            </w:r>
          </w:p>
        </w:tc>
        <w:tc>
          <w:tcPr>
            <w:tcW w:w="1174" w:type="dxa"/>
            <w:shd w:val="clear" w:color="auto" w:fill="auto"/>
          </w:tcPr>
          <w:p w14:paraId="0D1262C0" w14:textId="3C8AA7E2" w:rsidR="004F59DB" w:rsidRPr="000D0C93" w:rsidRDefault="002C7AF5" w:rsidP="004F59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</w:t>
            </w:r>
          </w:p>
        </w:tc>
      </w:tr>
      <w:tr w:rsidR="004F59DB" w:rsidRPr="000D0C93" w14:paraId="7DED594E" w14:textId="77777777" w:rsidTr="00990B3E">
        <w:tc>
          <w:tcPr>
            <w:tcW w:w="1177" w:type="dxa"/>
            <w:shd w:val="clear" w:color="auto" w:fill="auto"/>
          </w:tcPr>
          <w:p w14:paraId="16DF52FC" w14:textId="77777777" w:rsidR="004F59DB" w:rsidRPr="000D0C93" w:rsidRDefault="000D0C93" w:rsidP="004F59DB">
            <w:pPr>
              <w:spacing w:before="120"/>
              <w:rPr>
                <w:sz w:val="18"/>
                <w:szCs w:val="18"/>
              </w:rPr>
            </w:pPr>
            <w:r w:rsidRPr="000D0C93">
              <w:rPr>
                <w:sz w:val="18"/>
                <w:szCs w:val="18"/>
              </w:rPr>
              <w:t>Dateiname</w:t>
            </w:r>
            <w:r w:rsidR="004F59DB" w:rsidRPr="000D0C93">
              <w:rPr>
                <w:sz w:val="18"/>
                <w:szCs w:val="18"/>
              </w:rPr>
              <w:t>:</w:t>
            </w:r>
          </w:p>
        </w:tc>
        <w:tc>
          <w:tcPr>
            <w:tcW w:w="3527" w:type="dxa"/>
            <w:shd w:val="clear" w:color="auto" w:fill="auto"/>
          </w:tcPr>
          <w:p w14:paraId="107F442C" w14:textId="187F2402" w:rsidR="004F59DB" w:rsidRPr="000D0C93" w:rsidRDefault="0018232C" w:rsidP="004F59DB">
            <w:pPr>
              <w:spacing w:before="120"/>
              <w:rPr>
                <w:sz w:val="18"/>
                <w:szCs w:val="18"/>
              </w:rPr>
            </w:pPr>
            <w:r w:rsidRPr="0018232C">
              <w:rPr>
                <w:sz w:val="18"/>
                <w:szCs w:val="18"/>
              </w:rPr>
              <w:t>202207015_pm_honeywell-_und_rockwell-ersatz</w:t>
            </w:r>
          </w:p>
        </w:tc>
        <w:tc>
          <w:tcPr>
            <w:tcW w:w="1424" w:type="dxa"/>
            <w:shd w:val="clear" w:color="auto" w:fill="auto"/>
          </w:tcPr>
          <w:p w14:paraId="7D670F6B" w14:textId="77777777" w:rsidR="004F59DB" w:rsidRPr="000D0C93" w:rsidRDefault="004F59DB" w:rsidP="004F59DB">
            <w:pPr>
              <w:spacing w:before="120"/>
              <w:rPr>
                <w:sz w:val="18"/>
                <w:szCs w:val="18"/>
              </w:rPr>
            </w:pPr>
            <w:r w:rsidRPr="000D0C93">
              <w:rPr>
                <w:sz w:val="18"/>
                <w:szCs w:val="18"/>
              </w:rPr>
              <w:t>Dat</w:t>
            </w:r>
            <w:r w:rsidR="000D0C93" w:rsidRPr="000D0C93">
              <w:rPr>
                <w:sz w:val="18"/>
                <w:szCs w:val="18"/>
              </w:rPr>
              <w:t>um</w:t>
            </w:r>
            <w:r w:rsidRPr="000D0C93">
              <w:rPr>
                <w:sz w:val="18"/>
                <w:szCs w:val="18"/>
              </w:rPr>
              <w:t>:</w:t>
            </w:r>
          </w:p>
        </w:tc>
        <w:tc>
          <w:tcPr>
            <w:tcW w:w="1174" w:type="dxa"/>
            <w:shd w:val="clear" w:color="auto" w:fill="auto"/>
          </w:tcPr>
          <w:p w14:paraId="75C767FD" w14:textId="5A8B16F8" w:rsidR="004F59DB" w:rsidRPr="000D0C93" w:rsidRDefault="002C1454" w:rsidP="004F59DB">
            <w:pPr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13.07.2022</w:t>
            </w:r>
          </w:p>
        </w:tc>
      </w:tr>
    </w:tbl>
    <w:p w14:paraId="1588040B" w14:textId="00285F2C" w:rsidR="004F59DB" w:rsidRPr="000D0C93" w:rsidRDefault="000D0C93" w:rsidP="004F59DB">
      <w:pPr>
        <w:spacing w:before="120" w:after="120"/>
        <w:rPr>
          <w:b/>
          <w:sz w:val="16"/>
        </w:rPr>
      </w:pPr>
      <w:r w:rsidRPr="000D0C93">
        <w:rPr>
          <w:b/>
          <w:sz w:val="16"/>
        </w:rPr>
        <w:t>Über</w:t>
      </w:r>
      <w:r w:rsidR="004F59DB" w:rsidRPr="000D0C93">
        <w:rPr>
          <w:b/>
          <w:sz w:val="16"/>
        </w:rPr>
        <w:t xml:space="preserve"> </w:t>
      </w:r>
      <w:r w:rsidR="00BB34D6">
        <w:rPr>
          <w:b/>
          <w:sz w:val="16"/>
        </w:rPr>
        <w:t>PIL</w:t>
      </w:r>
    </w:p>
    <w:p w14:paraId="1E0FD378" w14:textId="36588937" w:rsidR="004F59DB" w:rsidRDefault="003E1CC8" w:rsidP="004F59DB">
      <w:pPr>
        <w:jc w:val="both"/>
        <w:rPr>
          <w:sz w:val="16"/>
        </w:rPr>
      </w:pPr>
      <w:r w:rsidRPr="003E1CC8">
        <w:rPr>
          <w:sz w:val="16"/>
        </w:rPr>
        <w:t>Die in Erlensee bei Frankfurt/Main ansässige PIL Sensoren GmbH</w:t>
      </w:r>
      <w:r w:rsidR="002A4204">
        <w:rPr>
          <w:sz w:val="16"/>
        </w:rPr>
        <w:t>,</w:t>
      </w:r>
      <w:r w:rsidRPr="003E1CC8">
        <w:rPr>
          <w:sz w:val="16"/>
        </w:rPr>
        <w:t xml:space="preserve"> ein Pionier der Ultraschallsensorik</w:t>
      </w:r>
      <w:r w:rsidR="002A4204">
        <w:rPr>
          <w:sz w:val="16"/>
        </w:rPr>
        <w:t>,</w:t>
      </w:r>
      <w:r w:rsidRPr="003E1CC8">
        <w:rPr>
          <w:sz w:val="16"/>
        </w:rPr>
        <w:t xml:space="preserve"> entwickelt, produziert und vertreibt seit </w:t>
      </w:r>
      <w:r w:rsidR="002A4204">
        <w:rPr>
          <w:sz w:val="16"/>
        </w:rPr>
        <w:t>1990</w:t>
      </w:r>
      <w:r w:rsidRPr="003E1CC8">
        <w:rPr>
          <w:sz w:val="16"/>
        </w:rPr>
        <w:t xml:space="preserve"> Standard- und maßgeschneiderte Sensorlösungen für industrielle Anwendungen. Zusammen mit der Inelta Sensorsystem</w:t>
      </w:r>
      <w:r w:rsidR="007D505B">
        <w:rPr>
          <w:sz w:val="16"/>
        </w:rPr>
        <w:t>e</w:t>
      </w:r>
      <w:r w:rsidRPr="003E1CC8">
        <w:rPr>
          <w:sz w:val="16"/>
        </w:rPr>
        <w:t xml:space="preserve"> GmbH &amp; Co. KG (Taufkirchen bei München) und der VYPRO s.r.o. (Trenčín, Slowakei) bietet </w:t>
      </w:r>
      <w:r w:rsidR="002A4204">
        <w:rPr>
          <w:sz w:val="16"/>
        </w:rPr>
        <w:t>PIL</w:t>
      </w:r>
      <w:r w:rsidRPr="003E1CC8">
        <w:rPr>
          <w:sz w:val="16"/>
        </w:rPr>
        <w:t xml:space="preserve"> ein breites Produktspektrum zur Weg- und Positions- sowie zur Kraft-, Druck- und Neigungsmessung an. Das Angebot umfasst Kraftsensoren, Sensor-Signalverstärker, Druckschalter, kapazitive Sensoren sowie Ultraschallsensoren. Dienstleistungen aus dem Bereich der Kabel- und Steckverbinder-Konfektionierung ergänzen das Portfolio.</w:t>
      </w:r>
    </w:p>
    <w:p w14:paraId="33B11700" w14:textId="6C41ECC1" w:rsidR="003E1CC8" w:rsidRPr="000D0C93" w:rsidRDefault="002A4204" w:rsidP="004F59DB">
      <w:pPr>
        <w:jc w:val="both"/>
        <w:rPr>
          <w:sz w:val="16"/>
        </w:rPr>
      </w:pPr>
      <w:r w:rsidRPr="002A4204">
        <w:rPr>
          <w:sz w:val="16"/>
        </w:rPr>
        <w:t>Der Unternehmensverbund beliefert insbesondere Kunden aus den Branchen Industrielle Automatisierung, Maschinenbau, Hydraulik, Medizintechnik sowie Luft- und Raumfahrt. Branchen- und kundenspezifische Sensorlösungen bilden dabei einen besonderen Schwerpunkt, der mit interdisziplinärem Know-how beständig ausgebaut wird.</w:t>
      </w:r>
    </w:p>
    <w:p w14:paraId="60306248" w14:textId="411BA16B" w:rsidR="004F59DB" w:rsidRPr="000D0C93" w:rsidRDefault="004F59DB" w:rsidP="004F59DB">
      <w:pPr>
        <w:pBdr>
          <w:between w:val="single" w:sz="4" w:space="1" w:color="auto"/>
        </w:pBdr>
        <w:jc w:val="both"/>
        <w:rPr>
          <w:sz w:val="16"/>
        </w:rPr>
      </w:pPr>
    </w:p>
    <w:p w14:paraId="3B374D22" w14:textId="37D056C0" w:rsidR="004F59DB" w:rsidRPr="000D0C93" w:rsidRDefault="004F59DB" w:rsidP="004F59DB">
      <w:pPr>
        <w:pBdr>
          <w:between w:val="single" w:sz="4" w:space="1" w:color="auto"/>
        </w:pBdr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04"/>
        <w:gridCol w:w="2598"/>
      </w:tblGrid>
      <w:tr w:rsidR="004F59DB" w:rsidRPr="000D0C93" w14:paraId="1D4053F0" w14:textId="77777777" w:rsidTr="00B95DD3">
        <w:tc>
          <w:tcPr>
            <w:tcW w:w="4704" w:type="dxa"/>
            <w:shd w:val="clear" w:color="auto" w:fill="auto"/>
          </w:tcPr>
          <w:p w14:paraId="5396D72F" w14:textId="1D918D54" w:rsidR="004F59DB" w:rsidRPr="000D0C93" w:rsidRDefault="000D0C93" w:rsidP="002A4204">
            <w:pPr>
              <w:rPr>
                <w:b/>
              </w:rPr>
            </w:pPr>
            <w:r w:rsidRPr="000D0C93">
              <w:rPr>
                <w:b/>
              </w:rPr>
              <w:t>K</w:t>
            </w:r>
            <w:r w:rsidR="004F59DB" w:rsidRPr="000D0C93">
              <w:rPr>
                <w:b/>
              </w:rPr>
              <w:t>onta</w:t>
            </w:r>
            <w:r w:rsidRPr="000D0C93">
              <w:rPr>
                <w:b/>
              </w:rPr>
              <w:t>k</w:t>
            </w:r>
            <w:r w:rsidR="004F59DB" w:rsidRPr="000D0C93">
              <w:rPr>
                <w:b/>
              </w:rPr>
              <w:t>t:</w:t>
            </w:r>
          </w:p>
          <w:p w14:paraId="5CCA0B00" w14:textId="4C0BA084" w:rsidR="004F59DB" w:rsidRPr="000D0C93" w:rsidRDefault="002A4204" w:rsidP="002A4204">
            <w:pPr>
              <w:pStyle w:val="berschrift2"/>
              <w:ind w:right="-70"/>
              <w:jc w:val="left"/>
              <w:rPr>
                <w:sz w:val="20"/>
              </w:rPr>
            </w:pPr>
            <w:r w:rsidRPr="002A4204">
              <w:rPr>
                <w:sz w:val="20"/>
              </w:rPr>
              <w:t>PIL Sensoren GmbH</w:t>
            </w:r>
            <w:r>
              <w:rPr>
                <w:sz w:val="20"/>
              </w:rPr>
              <w:br/>
            </w:r>
            <w:r w:rsidRPr="002A4204">
              <w:rPr>
                <w:sz w:val="20"/>
              </w:rPr>
              <w:t>Zweigstelle Süd</w:t>
            </w:r>
          </w:p>
          <w:p w14:paraId="4E14F28A" w14:textId="76A54FA7" w:rsidR="004F59DB" w:rsidRPr="000D0C93" w:rsidRDefault="007D505B" w:rsidP="002A4204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</w:pPr>
            <w:r>
              <w:t>Reinhard Koch</w:t>
            </w:r>
          </w:p>
          <w:p w14:paraId="14A9756C" w14:textId="73463E59" w:rsidR="004F59DB" w:rsidRPr="000D0C93" w:rsidRDefault="002A4204" w:rsidP="002A4204">
            <w:r w:rsidRPr="002A4204">
              <w:t>Ludwig-Bölkow-Allee 22</w:t>
            </w:r>
          </w:p>
          <w:p w14:paraId="440A692E" w14:textId="5644B017" w:rsidR="004F59DB" w:rsidRPr="000D0C93" w:rsidRDefault="002A4204" w:rsidP="002A4204">
            <w:r w:rsidRPr="002A4204">
              <w:t>82024 Taufkirchen</w:t>
            </w:r>
          </w:p>
          <w:p w14:paraId="781EE37C" w14:textId="63EB37E7" w:rsidR="002A4204" w:rsidRPr="007D505B" w:rsidRDefault="000D0C93" w:rsidP="002A4204">
            <w:pPr>
              <w:spacing w:before="120"/>
            </w:pPr>
            <w:r w:rsidRPr="007D505B">
              <w:t>Tel.</w:t>
            </w:r>
            <w:r w:rsidR="004F59DB" w:rsidRPr="007D505B">
              <w:t xml:space="preserve">: </w:t>
            </w:r>
            <w:r w:rsidR="002A4204" w:rsidRPr="007D505B">
              <w:t>089 / 452 245-0</w:t>
            </w:r>
          </w:p>
          <w:p w14:paraId="51CC8F01" w14:textId="244D16E9" w:rsidR="002A4204" w:rsidRPr="007D505B" w:rsidRDefault="002A4204" w:rsidP="002A4204">
            <w:r w:rsidRPr="007D505B">
              <w:t>Fax: 089 / 452 245-744</w:t>
            </w:r>
          </w:p>
          <w:p w14:paraId="70837F10" w14:textId="7B1A6C4E" w:rsidR="002A4204" w:rsidRPr="007D505B" w:rsidRDefault="004F59DB" w:rsidP="002A4204">
            <w:r w:rsidRPr="007D505B">
              <w:t>E</w:t>
            </w:r>
            <w:r w:rsidR="000D0C93" w:rsidRPr="007D505B">
              <w:t>-M</w:t>
            </w:r>
            <w:r w:rsidRPr="007D505B">
              <w:t xml:space="preserve">ail: </w:t>
            </w:r>
            <w:r w:rsidR="002A4204" w:rsidRPr="007D505B">
              <w:t>marketing@pil.de</w:t>
            </w:r>
          </w:p>
          <w:p w14:paraId="700C3CF4" w14:textId="664D6A61" w:rsidR="0079055A" w:rsidRPr="002A4204" w:rsidRDefault="004F59DB" w:rsidP="002A4204">
            <w:pPr>
              <w:rPr>
                <w:sz w:val="18"/>
                <w:szCs w:val="18"/>
                <w:lang w:val="pt-PT"/>
              </w:rPr>
            </w:pPr>
            <w:r w:rsidRPr="002A4204">
              <w:rPr>
                <w:lang w:val="pt-PT"/>
              </w:rPr>
              <w:t xml:space="preserve">Internet: </w:t>
            </w:r>
            <w:r w:rsidR="002A4204" w:rsidRPr="002A4204">
              <w:rPr>
                <w:lang w:val="pt-PT"/>
              </w:rPr>
              <w:t>www.pil.de</w:t>
            </w:r>
          </w:p>
        </w:tc>
        <w:tc>
          <w:tcPr>
            <w:tcW w:w="2598" w:type="dxa"/>
            <w:shd w:val="clear" w:color="auto" w:fill="auto"/>
          </w:tcPr>
          <w:p w14:paraId="208B5A39" w14:textId="77777777" w:rsidR="004F59DB" w:rsidRPr="000D0C93" w:rsidRDefault="004F59DB" w:rsidP="004F59DB">
            <w:pPr>
              <w:spacing w:before="240"/>
              <w:rPr>
                <w:sz w:val="16"/>
              </w:rPr>
            </w:pPr>
            <w:r w:rsidRPr="000D0C93">
              <w:rPr>
                <w:sz w:val="16"/>
              </w:rPr>
              <w:t>gii die Presse-Agentur GmbH</w:t>
            </w:r>
          </w:p>
          <w:p w14:paraId="1D1100AB" w14:textId="77777777" w:rsidR="004F59DB" w:rsidRPr="000D0C93" w:rsidRDefault="004F59DB" w:rsidP="004F59DB">
            <w:pPr>
              <w:rPr>
                <w:sz w:val="16"/>
              </w:rPr>
            </w:pPr>
            <w:r w:rsidRPr="000D0C93">
              <w:rPr>
                <w:sz w:val="16"/>
              </w:rPr>
              <w:t>Immanuelkirchstr</w:t>
            </w:r>
            <w:r w:rsidR="000D0C93" w:rsidRPr="000D0C93">
              <w:rPr>
                <w:sz w:val="16"/>
              </w:rPr>
              <w:t>aße</w:t>
            </w:r>
            <w:r w:rsidRPr="000D0C93">
              <w:rPr>
                <w:sz w:val="16"/>
              </w:rPr>
              <w:t xml:space="preserve"> 12</w:t>
            </w:r>
          </w:p>
          <w:p w14:paraId="3053704C" w14:textId="77777777" w:rsidR="004F59DB" w:rsidRPr="000D0C93" w:rsidRDefault="004F59DB" w:rsidP="004F59DB">
            <w:pPr>
              <w:rPr>
                <w:sz w:val="16"/>
              </w:rPr>
            </w:pPr>
            <w:r w:rsidRPr="000D0C93">
              <w:rPr>
                <w:sz w:val="16"/>
              </w:rPr>
              <w:t>10405 Berlin</w:t>
            </w:r>
          </w:p>
          <w:p w14:paraId="0C07D4BA" w14:textId="77777777" w:rsidR="004F59DB" w:rsidRPr="000D0C93" w:rsidRDefault="000D0C93" w:rsidP="004F59DB">
            <w:pPr>
              <w:rPr>
                <w:sz w:val="16"/>
              </w:rPr>
            </w:pPr>
            <w:r w:rsidRPr="000D0C93">
              <w:rPr>
                <w:sz w:val="16"/>
              </w:rPr>
              <w:t>Tel.</w:t>
            </w:r>
            <w:r w:rsidR="004F59DB" w:rsidRPr="000D0C93">
              <w:rPr>
                <w:sz w:val="16"/>
              </w:rPr>
              <w:t xml:space="preserve">: </w:t>
            </w:r>
            <w:r w:rsidRPr="000D0C93">
              <w:rPr>
                <w:sz w:val="16"/>
              </w:rPr>
              <w:t>0</w:t>
            </w:r>
            <w:r w:rsidR="004F59DB" w:rsidRPr="000D0C93">
              <w:rPr>
                <w:sz w:val="16"/>
              </w:rPr>
              <w:t xml:space="preserve">30 </w:t>
            </w:r>
            <w:r w:rsidRPr="000D0C93">
              <w:rPr>
                <w:sz w:val="16"/>
              </w:rPr>
              <w:t>/</w:t>
            </w:r>
            <w:r w:rsidR="004F59DB" w:rsidRPr="000D0C93">
              <w:rPr>
                <w:sz w:val="16"/>
              </w:rPr>
              <w:t xml:space="preserve"> 538 965-0</w:t>
            </w:r>
          </w:p>
          <w:p w14:paraId="1BB157A6" w14:textId="36EEAC09" w:rsidR="002A4204" w:rsidRDefault="004F59DB" w:rsidP="004F59DB">
            <w:pPr>
              <w:rPr>
                <w:sz w:val="16"/>
              </w:rPr>
            </w:pPr>
            <w:r w:rsidRPr="000D0C93">
              <w:rPr>
                <w:sz w:val="16"/>
              </w:rPr>
              <w:t>E</w:t>
            </w:r>
            <w:r w:rsidR="000D0C93" w:rsidRPr="000D0C93">
              <w:rPr>
                <w:sz w:val="16"/>
              </w:rPr>
              <w:t>-M</w:t>
            </w:r>
            <w:r w:rsidRPr="000D0C93">
              <w:rPr>
                <w:sz w:val="16"/>
              </w:rPr>
              <w:t>ail:</w:t>
            </w:r>
            <w:r w:rsidR="002A4204">
              <w:rPr>
                <w:sz w:val="16"/>
              </w:rPr>
              <w:t xml:space="preserve"> </w:t>
            </w:r>
            <w:r w:rsidR="002A4204" w:rsidRPr="002A4204">
              <w:rPr>
                <w:sz w:val="16"/>
              </w:rPr>
              <w:t>info@gii.de</w:t>
            </w:r>
          </w:p>
          <w:p w14:paraId="6364633F" w14:textId="6993E221" w:rsidR="0079055A" w:rsidRPr="000D0C93" w:rsidRDefault="002A4204" w:rsidP="002A4204">
            <w:pPr>
              <w:rPr>
                <w:sz w:val="18"/>
                <w:szCs w:val="18"/>
              </w:rPr>
            </w:pPr>
            <w:r w:rsidRPr="002A4204">
              <w:rPr>
                <w:sz w:val="16"/>
              </w:rPr>
              <w:t>Internet: www.gii.de</w:t>
            </w:r>
          </w:p>
        </w:tc>
      </w:tr>
    </w:tbl>
    <w:p w14:paraId="47E0CED1" w14:textId="6A8051E2" w:rsidR="004F59DB" w:rsidRPr="000D0C93" w:rsidRDefault="004F59DB" w:rsidP="004F59DB"/>
    <w:sectPr w:rsidR="004F59DB" w:rsidRPr="000D0C93" w:rsidSect="00D16B4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701" w:right="2835" w:bottom="851" w:left="1985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BAD36" w14:textId="77777777" w:rsidR="001F611F" w:rsidRDefault="001F611F">
      <w:r>
        <w:separator/>
      </w:r>
    </w:p>
  </w:endnote>
  <w:endnote w:type="continuationSeparator" w:id="0">
    <w:p w14:paraId="1BB1EBC5" w14:textId="77777777" w:rsidR="001F611F" w:rsidRDefault="001F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A Bk BT">
    <w:altName w:val="Tahoma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B483" w14:textId="77777777" w:rsidR="00397953" w:rsidRDefault="00397953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D29D" w14:textId="77777777" w:rsidR="00397953" w:rsidRDefault="00397953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CDA8E" w14:textId="77777777" w:rsidR="001F611F" w:rsidRDefault="001F611F">
      <w:r>
        <w:separator/>
      </w:r>
    </w:p>
  </w:footnote>
  <w:footnote w:type="continuationSeparator" w:id="0">
    <w:p w14:paraId="4A34DD45" w14:textId="77777777" w:rsidR="001F611F" w:rsidRDefault="001F6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89460" w14:textId="6C9B11D6" w:rsidR="00397953" w:rsidRDefault="00DD6D40" w:rsidP="00947819">
    <w:pPr>
      <w:pStyle w:val="Kopfzeile"/>
      <w:tabs>
        <w:tab w:val="clear" w:pos="4536"/>
        <w:tab w:val="clear" w:pos="9072"/>
      </w:tabs>
      <w:ind w:left="709" w:hanging="709"/>
      <w:rPr>
        <w:rStyle w:val="Seitenzahl"/>
        <w:sz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78F0A91" wp14:editId="3C4901DB">
          <wp:simplePos x="0" y="0"/>
          <wp:positionH relativeFrom="margin">
            <wp:posOffset>4979035</wp:posOffset>
          </wp:positionH>
          <wp:positionV relativeFrom="paragraph">
            <wp:posOffset>-122555</wp:posOffset>
          </wp:positionV>
          <wp:extent cx="636905" cy="547370"/>
          <wp:effectExtent l="0" t="0" r="0" b="0"/>
          <wp:wrapNone/>
          <wp:docPr id="1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0C93">
      <w:rPr>
        <w:sz w:val="18"/>
      </w:rPr>
      <w:t>Seit</w:t>
    </w:r>
    <w:r w:rsidR="00397953">
      <w:rPr>
        <w:sz w:val="18"/>
      </w:rPr>
      <w:t xml:space="preserve">e </w:t>
    </w:r>
    <w:r w:rsidR="00397953">
      <w:rPr>
        <w:rStyle w:val="Seitenzahl"/>
        <w:sz w:val="18"/>
      </w:rPr>
      <w:fldChar w:fldCharType="begin"/>
    </w:r>
    <w:r w:rsidR="00397953">
      <w:rPr>
        <w:rStyle w:val="Seitenzahl"/>
        <w:sz w:val="18"/>
      </w:rPr>
      <w:instrText xml:space="preserve"> PAGE </w:instrText>
    </w:r>
    <w:r w:rsidR="00397953">
      <w:rPr>
        <w:rStyle w:val="Seitenzahl"/>
        <w:sz w:val="18"/>
      </w:rPr>
      <w:fldChar w:fldCharType="separate"/>
    </w:r>
    <w:r w:rsidR="00F3643C">
      <w:rPr>
        <w:rStyle w:val="Seitenzahl"/>
        <w:noProof/>
        <w:sz w:val="18"/>
      </w:rPr>
      <w:t>2</w:t>
    </w:r>
    <w:r w:rsidR="00397953">
      <w:rPr>
        <w:rStyle w:val="Seitenzahl"/>
        <w:sz w:val="18"/>
      </w:rPr>
      <w:fldChar w:fldCharType="end"/>
    </w:r>
    <w:r w:rsidR="00947819">
      <w:rPr>
        <w:rStyle w:val="Seitenzahl"/>
        <w:sz w:val="18"/>
      </w:rPr>
      <w:t>:</w:t>
    </w:r>
    <w:r w:rsidR="00947819">
      <w:rPr>
        <w:rStyle w:val="Seitenzahl"/>
        <w:sz w:val="18"/>
      </w:rPr>
      <w:tab/>
    </w:r>
    <w:r w:rsidR="00DD6CB3">
      <w:rPr>
        <w:rStyle w:val="Seitenzahl"/>
        <w:sz w:val="18"/>
      </w:rPr>
      <w:t>Ersatz für Honeywell- und Rockwellsensoren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734A4" w14:textId="0F5E2DCA" w:rsidR="00397953" w:rsidRDefault="00DD6D40">
    <w:pPr>
      <w:pStyle w:val="Kopfzeile"/>
      <w:tabs>
        <w:tab w:val="clear" w:pos="4536"/>
        <w:tab w:val="clear" w:pos="9072"/>
      </w:tabs>
      <w:rPr>
        <w:sz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8BCF585" wp14:editId="2E65B85A">
          <wp:simplePos x="0" y="0"/>
          <wp:positionH relativeFrom="margin">
            <wp:posOffset>4979035</wp:posOffset>
          </wp:positionH>
          <wp:positionV relativeFrom="paragraph">
            <wp:posOffset>-114935</wp:posOffset>
          </wp:positionV>
          <wp:extent cx="636905" cy="547370"/>
          <wp:effectExtent l="0" t="0" r="0" b="0"/>
          <wp:wrapNone/>
          <wp:docPr id="1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19D14D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3C6BC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F5D1704"/>
    <w:multiLevelType w:val="singleLevel"/>
    <w:tmpl w:val="3E64FE7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 w16cid:durableId="668023463">
    <w:abstractNumId w:val="0"/>
  </w:num>
  <w:num w:numId="2" w16cid:durableId="1150368394">
    <w:abstractNumId w:val="3"/>
  </w:num>
  <w:num w:numId="3" w16cid:durableId="6713839">
    <w:abstractNumId w:val="2"/>
  </w:num>
  <w:num w:numId="4" w16cid:durableId="771170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6BE"/>
    <w:rsid w:val="0003119F"/>
    <w:rsid w:val="00061CC2"/>
    <w:rsid w:val="00085BE9"/>
    <w:rsid w:val="00086A6A"/>
    <w:rsid w:val="000D0C93"/>
    <w:rsid w:val="000D3D1B"/>
    <w:rsid w:val="000E7AE5"/>
    <w:rsid w:val="00145013"/>
    <w:rsid w:val="00162BC6"/>
    <w:rsid w:val="0018232C"/>
    <w:rsid w:val="001B7AF4"/>
    <w:rsid w:val="001C4AF5"/>
    <w:rsid w:val="001F1B19"/>
    <w:rsid w:val="001F611F"/>
    <w:rsid w:val="00256FC3"/>
    <w:rsid w:val="00267A0E"/>
    <w:rsid w:val="002A4204"/>
    <w:rsid w:val="002C1454"/>
    <w:rsid w:val="002C607D"/>
    <w:rsid w:val="002C7173"/>
    <w:rsid w:val="002C7AF5"/>
    <w:rsid w:val="002D5193"/>
    <w:rsid w:val="002E0264"/>
    <w:rsid w:val="00341AFC"/>
    <w:rsid w:val="00395E07"/>
    <w:rsid w:val="00397953"/>
    <w:rsid w:val="003B2C6D"/>
    <w:rsid w:val="003E1CC8"/>
    <w:rsid w:val="003F5DB1"/>
    <w:rsid w:val="0040522D"/>
    <w:rsid w:val="0042754D"/>
    <w:rsid w:val="004D4722"/>
    <w:rsid w:val="004F59DB"/>
    <w:rsid w:val="0050030F"/>
    <w:rsid w:val="005025F9"/>
    <w:rsid w:val="005044A8"/>
    <w:rsid w:val="005A5FCE"/>
    <w:rsid w:val="0060680E"/>
    <w:rsid w:val="006215E2"/>
    <w:rsid w:val="0064124C"/>
    <w:rsid w:val="006B381C"/>
    <w:rsid w:val="00700CFC"/>
    <w:rsid w:val="0070201B"/>
    <w:rsid w:val="00712381"/>
    <w:rsid w:val="0079055A"/>
    <w:rsid w:val="007D505B"/>
    <w:rsid w:val="007F10B1"/>
    <w:rsid w:val="007F5476"/>
    <w:rsid w:val="008161EE"/>
    <w:rsid w:val="00881BC9"/>
    <w:rsid w:val="0089496A"/>
    <w:rsid w:val="008B2FCC"/>
    <w:rsid w:val="00947819"/>
    <w:rsid w:val="00965936"/>
    <w:rsid w:val="00983A3F"/>
    <w:rsid w:val="00990B3E"/>
    <w:rsid w:val="0099798F"/>
    <w:rsid w:val="009F6B50"/>
    <w:rsid w:val="00A12E04"/>
    <w:rsid w:val="00AD1196"/>
    <w:rsid w:val="00AE4E98"/>
    <w:rsid w:val="00B56C20"/>
    <w:rsid w:val="00B62090"/>
    <w:rsid w:val="00B8523A"/>
    <w:rsid w:val="00B961DC"/>
    <w:rsid w:val="00BB34D6"/>
    <w:rsid w:val="00BE27C5"/>
    <w:rsid w:val="00BF3F31"/>
    <w:rsid w:val="00C36973"/>
    <w:rsid w:val="00C85113"/>
    <w:rsid w:val="00CC7044"/>
    <w:rsid w:val="00CE46BB"/>
    <w:rsid w:val="00D16B4E"/>
    <w:rsid w:val="00D206BE"/>
    <w:rsid w:val="00D338AA"/>
    <w:rsid w:val="00DC270B"/>
    <w:rsid w:val="00DD6CB3"/>
    <w:rsid w:val="00DD6D40"/>
    <w:rsid w:val="00E03DB1"/>
    <w:rsid w:val="00ED4CC3"/>
    <w:rsid w:val="00F3643C"/>
    <w:rsid w:val="00F51B0D"/>
    <w:rsid w:val="00F648FA"/>
    <w:rsid w:val="00FA1966"/>
    <w:rsid w:val="00FA4748"/>
    <w:rsid w:val="00FB4890"/>
    <w:rsid w:val="00FB506F"/>
    <w:rsid w:val="00FC7D04"/>
    <w:rsid w:val="00FD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B8BDDC"/>
  <w15:chartTrackingRefBased/>
  <w15:docId w15:val="{1A64C06B-B7C8-4882-A9FC-4EECE801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7819"/>
    <w:pPr>
      <w:suppressAutoHyphens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ind w:right="1699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spacing w:before="240" w:after="240"/>
      <w:outlineLvl w:val="4"/>
    </w:pPr>
    <w:rPr>
      <w:rFonts w:ascii="Helvetica" w:hAnsi="Helvetica"/>
      <w:sz w:val="20"/>
    </w:rPr>
  </w:style>
  <w:style w:type="paragraph" w:styleId="berschrift6">
    <w:name w:val="heading 6"/>
    <w:basedOn w:val="berschrift5"/>
    <w:next w:val="Standard"/>
    <w:qFormat/>
    <w:pPr>
      <w:outlineLvl w:val="5"/>
    </w:pPr>
  </w:style>
  <w:style w:type="paragraph" w:styleId="berschrift7">
    <w:name w:val="heading 7"/>
    <w:basedOn w:val="berschrift6"/>
    <w:next w:val="Standard"/>
    <w:qFormat/>
    <w:pPr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spacing w:line="360" w:lineRule="auto"/>
      <w:ind w:left="708"/>
      <w:jc w:val="both"/>
    </w:pPr>
    <w:rPr>
      <w:rFonts w:ascii="FuturaA Bk BT" w:hAnsi="FuturaA Bk BT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Textkrper3">
    <w:name w:val="Body Text 3"/>
    <w:basedOn w:val="Standard"/>
    <w:semiHidden/>
    <w:rPr>
      <w:sz w:val="16"/>
    </w:rPr>
  </w:style>
  <w:style w:type="table" w:styleId="Tabellenraster">
    <w:name w:val="Table Grid"/>
    <w:basedOn w:val="NormaleTabelle"/>
    <w:uiPriority w:val="59"/>
    <w:rsid w:val="000D3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79055A"/>
    <w:rPr>
      <w:color w:val="605E5C"/>
      <w:shd w:val="clear" w:color="auto" w:fill="E1DFDD"/>
    </w:rPr>
  </w:style>
  <w:style w:type="character" w:styleId="Kommentarzeichen">
    <w:name w:val="annotation reference"/>
    <w:uiPriority w:val="99"/>
    <w:semiHidden/>
    <w:unhideWhenUsed/>
    <w:rsid w:val="002A42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4204"/>
  </w:style>
  <w:style w:type="character" w:customStyle="1" w:styleId="KommentartextZchn">
    <w:name w:val="Kommentartext Zchn"/>
    <w:link w:val="Kommentartext"/>
    <w:uiPriority w:val="99"/>
    <w:semiHidden/>
    <w:rsid w:val="002A420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420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A420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gii  die Presse-Agentur GmbH</Company>
  <LinksUpToDate>false</LinksUpToDate>
  <CharactersWithSpaces>2153</CharactersWithSpaces>
  <SharedDoc>false</SharedDoc>
  <HLinks>
    <vt:vector size="6" baseType="variant">
      <vt:variant>
        <vt:i4>589944</vt:i4>
      </vt:variant>
      <vt:variant>
        <vt:i4>0</vt:i4>
      </vt:variant>
      <vt:variant>
        <vt:i4>0</vt:i4>
      </vt:variant>
      <vt:variant>
        <vt:i4>5</vt:i4>
      </vt:variant>
      <vt:variant>
        <vt:lpwstr>mailto:gj@menzel-elektromotoren.com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cp:keywords/>
  <cp:lastModifiedBy>Annika Schlee</cp:lastModifiedBy>
  <cp:revision>4</cp:revision>
  <cp:lastPrinted>2014-05-09T08:50:00Z</cp:lastPrinted>
  <dcterms:created xsi:type="dcterms:W3CDTF">2022-07-12T12:08:00Z</dcterms:created>
  <dcterms:modified xsi:type="dcterms:W3CDTF">2022-07-13T12:02:00Z</dcterms:modified>
</cp:coreProperties>
</file>